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553A7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b/>
          <w:bCs/>
          <w:kern w:val="0"/>
          <w:sz w:val="40"/>
          <w:szCs w:val="40"/>
        </w:rPr>
      </w:pPr>
      <w:r w:rsidRPr="002A13EB">
        <w:rPr>
          <w:rFonts w:ascii="Calibri" w:eastAsia="宋体" w:hAnsi="Calibri" w:cs="Calibri"/>
          <w:b/>
          <w:bCs/>
          <w:kern w:val="0"/>
          <w:sz w:val="40"/>
          <w:szCs w:val="40"/>
        </w:rPr>
        <w:t xml:space="preserve">XYZ NEUTRON X: El </w:t>
      </w:r>
      <w:proofErr w:type="spellStart"/>
      <w:r w:rsidRPr="002A13EB">
        <w:rPr>
          <w:rFonts w:ascii="Calibri" w:eastAsia="宋体" w:hAnsi="Calibri" w:cs="Calibri"/>
          <w:b/>
          <w:bCs/>
          <w:kern w:val="0"/>
          <w:sz w:val="40"/>
          <w:szCs w:val="40"/>
        </w:rPr>
        <w:t>diseño</w:t>
      </w:r>
      <w:proofErr w:type="spellEnd"/>
      <w:r w:rsidRPr="002A13EB">
        <w:rPr>
          <w:rFonts w:ascii="Calibri" w:eastAsia="宋体" w:hAnsi="Calibri" w:cs="Calibri"/>
          <w:b/>
          <w:bCs/>
          <w:kern w:val="0"/>
          <w:sz w:val="40"/>
          <w:szCs w:val="40"/>
        </w:rPr>
        <w:t xml:space="preserve"> de doble </w:t>
      </w:r>
      <w:proofErr w:type="spellStart"/>
      <w:r w:rsidRPr="002A13EB">
        <w:rPr>
          <w:rFonts w:ascii="Calibri" w:eastAsia="宋体" w:hAnsi="Calibri" w:cs="Calibri"/>
          <w:b/>
          <w:bCs/>
          <w:kern w:val="0"/>
          <w:sz w:val="40"/>
          <w:szCs w:val="40"/>
        </w:rPr>
        <w:t>cámara</w:t>
      </w:r>
      <w:proofErr w:type="spellEnd"/>
      <w:r w:rsidRPr="002A13EB">
        <w:rPr>
          <w:rFonts w:ascii="Calibri" w:eastAsia="宋体" w:hAnsi="Calibri" w:cs="Calibri"/>
          <w:b/>
          <w:bCs/>
          <w:kern w:val="0"/>
          <w:sz w:val="40"/>
          <w:szCs w:val="40"/>
        </w:rPr>
        <w:t xml:space="preserve"> perfecto </w:t>
      </w:r>
      <w:proofErr w:type="spellStart"/>
      <w:r w:rsidRPr="002A13EB">
        <w:rPr>
          <w:rFonts w:ascii="Calibri" w:eastAsia="宋体" w:hAnsi="Calibri" w:cs="Calibri"/>
          <w:b/>
          <w:bCs/>
          <w:kern w:val="0"/>
          <w:sz w:val="40"/>
          <w:szCs w:val="40"/>
        </w:rPr>
        <w:t>combinado</w:t>
      </w:r>
      <w:proofErr w:type="spellEnd"/>
      <w:r w:rsidRPr="002A13EB">
        <w:rPr>
          <w:rFonts w:ascii="Calibri" w:eastAsia="宋体" w:hAnsi="Calibri" w:cs="Calibri"/>
          <w:b/>
          <w:bCs/>
          <w:kern w:val="0"/>
          <w:sz w:val="40"/>
          <w:szCs w:val="40"/>
        </w:rPr>
        <w:t xml:space="preserve"> con la </w:t>
      </w:r>
      <w:proofErr w:type="spellStart"/>
      <w:r w:rsidRPr="002A13EB">
        <w:rPr>
          <w:rFonts w:ascii="Calibri" w:eastAsia="宋体" w:hAnsi="Calibri" w:cs="Calibri"/>
          <w:b/>
          <w:bCs/>
          <w:kern w:val="0"/>
          <w:sz w:val="40"/>
          <w:szCs w:val="40"/>
        </w:rPr>
        <w:t>tecnología</w:t>
      </w:r>
      <w:proofErr w:type="spellEnd"/>
      <w:r w:rsidRPr="002A13EB">
        <w:rPr>
          <w:rFonts w:ascii="Calibri" w:eastAsia="宋体" w:hAnsi="Calibri" w:cs="Calibri"/>
          <w:b/>
          <w:bCs/>
          <w:kern w:val="0"/>
          <w:sz w:val="40"/>
          <w:szCs w:val="40"/>
        </w:rPr>
        <w:t xml:space="preserve"> </w:t>
      </w:r>
      <w:proofErr w:type="spellStart"/>
      <w:r w:rsidRPr="002A13EB">
        <w:rPr>
          <w:rFonts w:ascii="Calibri" w:eastAsia="宋体" w:hAnsi="Calibri" w:cs="Calibri"/>
          <w:b/>
          <w:bCs/>
          <w:kern w:val="0"/>
          <w:sz w:val="40"/>
          <w:szCs w:val="40"/>
        </w:rPr>
        <w:t>más</w:t>
      </w:r>
      <w:proofErr w:type="spellEnd"/>
      <w:r w:rsidRPr="002A13EB">
        <w:rPr>
          <w:rFonts w:ascii="Calibri" w:eastAsia="宋体" w:hAnsi="Calibri" w:cs="Calibri"/>
          <w:b/>
          <w:bCs/>
          <w:kern w:val="0"/>
          <w:sz w:val="40"/>
          <w:szCs w:val="40"/>
        </w:rPr>
        <w:t xml:space="preserve"> </w:t>
      </w:r>
      <w:proofErr w:type="spellStart"/>
      <w:r w:rsidRPr="002A13EB">
        <w:rPr>
          <w:rFonts w:ascii="Calibri" w:eastAsia="宋体" w:hAnsi="Calibri" w:cs="Calibri"/>
          <w:b/>
          <w:bCs/>
          <w:kern w:val="0"/>
          <w:sz w:val="40"/>
          <w:szCs w:val="40"/>
        </w:rPr>
        <w:t>innovadora</w:t>
      </w:r>
      <w:proofErr w:type="spellEnd"/>
    </w:p>
    <w:p w14:paraId="69A8F16C" w14:textId="77777777" w:rsidR="00900764" w:rsidRPr="002A13EB" w:rsidRDefault="00900764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</w:p>
    <w:p w14:paraId="1A5FFAD2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El </w:t>
      </w: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XYZ NEUTRON X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combina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un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diseño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panorámico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elegante,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refrigeración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alto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rendimiento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y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funcionalidad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avanzada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en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un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diseño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doble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cámara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optimizado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para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el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flujo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aire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y la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gestión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cables.</w:t>
      </w:r>
    </w:p>
    <w:p w14:paraId="21C27AE0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Con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cinco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ventiladores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VORTEX 120mm A-RGB PWM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preinstalados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, un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controlador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PWM + ARGB MBSYNC y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compatibilidad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total con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placas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base BTF,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proporciona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una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base premium para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configuraciones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limpias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,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eficientes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y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visualmente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impactantes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>.</w:t>
      </w:r>
    </w:p>
    <w:p w14:paraId="3E794F57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La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carcasa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también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incluye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un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soporte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inferior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ajustable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múltiples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niveles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para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redirigir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el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flujo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aire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directamente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hacia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la GPU,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mejorando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el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rendimiento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térmico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y la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refrigeración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del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sistema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>.</w:t>
      </w:r>
    </w:p>
    <w:p w14:paraId="04189BC8" w14:textId="77777777" w:rsidR="00900764" w:rsidRPr="002A13EB" w:rsidRDefault="00900764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</w:p>
    <w:p w14:paraId="0491130F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8"/>
          <w:szCs w:val="28"/>
        </w:rPr>
      </w:pPr>
      <w:proofErr w:type="spellStart"/>
      <w:r w:rsidRPr="002A13EB">
        <w:rPr>
          <w:rFonts w:ascii="Calibri" w:eastAsia="宋体" w:hAnsi="Calibri" w:cs="Calibri"/>
          <w:b/>
          <w:bCs/>
          <w:kern w:val="0"/>
          <w:sz w:val="28"/>
          <w:szCs w:val="28"/>
        </w:rPr>
        <w:t>Características</w:t>
      </w:r>
      <w:proofErr w:type="spellEnd"/>
      <w:r w:rsidRPr="002A13EB">
        <w:rPr>
          <w:rFonts w:ascii="Calibri" w:eastAsia="宋体" w:hAnsi="Calibri" w:cs="Calibri"/>
          <w:b/>
          <w:bCs/>
          <w:kern w:val="0"/>
          <w:sz w:val="28"/>
          <w:szCs w:val="28"/>
        </w:rPr>
        <w:t xml:space="preserve"> </w:t>
      </w:r>
      <w:proofErr w:type="spellStart"/>
      <w:r w:rsidRPr="002A13EB">
        <w:rPr>
          <w:rFonts w:ascii="Calibri" w:eastAsia="宋体" w:hAnsi="Calibri" w:cs="Calibri"/>
          <w:b/>
          <w:bCs/>
          <w:kern w:val="0"/>
          <w:sz w:val="28"/>
          <w:szCs w:val="28"/>
        </w:rPr>
        <w:t>principales</w:t>
      </w:r>
      <w:proofErr w:type="spellEnd"/>
      <w:r w:rsidRPr="002A13EB">
        <w:rPr>
          <w:rFonts w:ascii="Calibri" w:eastAsia="宋体" w:hAnsi="Calibri" w:cs="Calibri"/>
          <w:b/>
          <w:bCs/>
          <w:kern w:val="0"/>
          <w:sz w:val="28"/>
          <w:szCs w:val="28"/>
        </w:rPr>
        <w:t>:</w:t>
      </w:r>
    </w:p>
    <w:p w14:paraId="1CE015DD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• </w:t>
      </w:r>
      <w:proofErr w:type="spellStart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>Diseño</w:t>
      </w:r>
      <w:proofErr w:type="spellEnd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>panorámico</w:t>
      </w:r>
      <w:proofErr w:type="spellEnd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 xml:space="preserve"> de doble </w:t>
      </w:r>
      <w:proofErr w:type="spellStart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>cámara</w:t>
      </w:r>
      <w:proofErr w:type="spellEnd"/>
    </w:p>
    <w:p w14:paraId="1DC6E31F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El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vidrio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templado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en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los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paneles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frontal y lateral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proporciona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una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vista completa y sin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obstrucciones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los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componentes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internos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,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mientras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que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el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diseño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doble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cámara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separa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la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fuente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alimentación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y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los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cables para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una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construcción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más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limpia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>.</w:t>
      </w:r>
    </w:p>
    <w:p w14:paraId="79413340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• </w:t>
      </w:r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 xml:space="preserve">Sistema de </w:t>
      </w:r>
      <w:proofErr w:type="spellStart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>refrigeración</w:t>
      </w:r>
      <w:proofErr w:type="spellEnd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>alta</w:t>
      </w:r>
      <w:proofErr w:type="spellEnd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>eficiencia</w:t>
      </w:r>
      <w:proofErr w:type="spellEnd"/>
    </w:p>
    <w:p w14:paraId="2ACE9131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Preinstalado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con 5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ventiladores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VORTEX 120mm A-RGB PWM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optimizados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para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presión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y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flujo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aire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,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ofreciendo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una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refrigeración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silenciosa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con un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nivel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ruido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entre 18.5–30.3 dB(A).</w:t>
      </w:r>
    </w:p>
    <w:p w14:paraId="1CC435DB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• </w:t>
      </w:r>
      <w:proofErr w:type="spellStart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>Soporte</w:t>
      </w:r>
      <w:proofErr w:type="spellEnd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>ajustable</w:t>
      </w:r>
      <w:proofErr w:type="spellEnd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>flujo</w:t>
      </w:r>
      <w:proofErr w:type="spellEnd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>aire</w:t>
      </w:r>
      <w:proofErr w:type="spellEnd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 xml:space="preserve"> </w:t>
      </w:r>
      <w:proofErr w:type="gramStart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>para GPU</w:t>
      </w:r>
      <w:proofErr w:type="gramEnd"/>
    </w:p>
    <w:p w14:paraId="6AA215E7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Incluye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un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soporte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inferior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múltiples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posiciones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que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permite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a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los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usuarios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redirigir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el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flujo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aire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directamente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hacia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la GPU para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mejorar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el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equilibrio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temperatura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y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el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rendimiento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refrigeración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>.</w:t>
      </w:r>
    </w:p>
    <w:p w14:paraId="106E21D5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• </w:t>
      </w:r>
      <w:proofErr w:type="spellStart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>Compatibilidad</w:t>
      </w:r>
      <w:proofErr w:type="spellEnd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 xml:space="preserve"> total con </w:t>
      </w:r>
      <w:proofErr w:type="spellStart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>placas</w:t>
      </w:r>
      <w:proofErr w:type="spellEnd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 xml:space="preserve"> base BTF</w:t>
      </w:r>
    </w:p>
    <w:p w14:paraId="41C12621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Diseñado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para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placas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base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conector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trasero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próxima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generación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,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proporcionando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una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gestión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cables perfecta y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una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cámara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frontal sin cables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visibles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>.</w:t>
      </w:r>
    </w:p>
    <w:p w14:paraId="5FE25775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• </w:t>
      </w:r>
      <w:proofErr w:type="spellStart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>Controlador</w:t>
      </w:r>
      <w:proofErr w:type="spellEnd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>integrado</w:t>
      </w:r>
      <w:proofErr w:type="spellEnd"/>
      <w:r w:rsidRPr="002A13EB">
        <w:rPr>
          <w:rFonts w:ascii="Calibri" w:eastAsia="宋体" w:hAnsi="Calibri" w:cs="Calibri"/>
          <w:b/>
          <w:bCs/>
          <w:kern w:val="0"/>
          <w:sz w:val="24"/>
          <w:szCs w:val="24"/>
        </w:rPr>
        <w:t xml:space="preserve"> PWM + ARGB</w:t>
      </w:r>
    </w:p>
    <w:p w14:paraId="0383C5DE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Sincroniza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la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iluminación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y la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velocidad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los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ventiladores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con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los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ecosistemas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placas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base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populares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como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ASUS Aura Sync, MSI Mystic Light, Gigabyte RGB Fusion y ASRock Polychrome.</w:t>
      </w:r>
    </w:p>
    <w:p w14:paraId="63B946B7" w14:textId="77777777" w:rsidR="00900764" w:rsidRPr="002A13EB" w:rsidRDefault="00900764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</w:p>
    <w:p w14:paraId="57ABEE85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8"/>
          <w:szCs w:val="28"/>
        </w:rPr>
      </w:pPr>
      <w:proofErr w:type="spellStart"/>
      <w:r w:rsidRPr="002A13EB">
        <w:rPr>
          <w:rFonts w:ascii="Calibri" w:eastAsia="宋体" w:hAnsi="Calibri" w:cs="Calibri"/>
          <w:b/>
          <w:bCs/>
          <w:kern w:val="0"/>
          <w:sz w:val="28"/>
          <w:szCs w:val="28"/>
        </w:rPr>
        <w:t>Especificaciones</w:t>
      </w:r>
      <w:proofErr w:type="spellEnd"/>
      <w:r w:rsidRPr="002A13EB">
        <w:rPr>
          <w:rFonts w:ascii="Calibri" w:eastAsia="宋体" w:hAnsi="Calibri" w:cs="Calibri"/>
          <w:b/>
          <w:bCs/>
          <w:kern w:val="0"/>
          <w:sz w:val="28"/>
          <w:szCs w:val="28"/>
        </w:rPr>
        <w:t xml:space="preserve"> </w:t>
      </w:r>
      <w:proofErr w:type="spellStart"/>
      <w:r w:rsidRPr="002A13EB">
        <w:rPr>
          <w:rFonts w:ascii="Calibri" w:eastAsia="宋体" w:hAnsi="Calibri" w:cs="Calibri"/>
          <w:b/>
          <w:bCs/>
          <w:kern w:val="0"/>
          <w:sz w:val="28"/>
          <w:szCs w:val="28"/>
        </w:rPr>
        <w:t>técnicas</w:t>
      </w:r>
      <w:proofErr w:type="spellEnd"/>
      <w:r w:rsidRPr="002A13EB">
        <w:rPr>
          <w:rFonts w:ascii="Calibri" w:eastAsia="宋体" w:hAnsi="Calibri" w:cs="Calibri"/>
          <w:b/>
          <w:bCs/>
          <w:kern w:val="0"/>
          <w:sz w:val="28"/>
          <w:szCs w:val="28"/>
        </w:rPr>
        <w:t>:</w:t>
      </w:r>
    </w:p>
    <w:p w14:paraId="3F75D1FA" w14:textId="77777777" w:rsidR="00900764" w:rsidRPr="002A13EB" w:rsidRDefault="00000000">
      <w:pPr>
        <w:widowControl/>
        <w:ind w:firstLineChars="100" w:firstLine="241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• Modelo: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XYZ NEUTRON X</w:t>
      </w:r>
    </w:p>
    <w:p w14:paraId="60811886" w14:textId="77777777" w:rsidR="00900764" w:rsidRPr="002A13EB" w:rsidRDefault="00000000">
      <w:pPr>
        <w:widowControl/>
        <w:ind w:firstLineChars="100" w:firstLine="241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•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Tamaño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de la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estructura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: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418 × 280 × 410 mm</w:t>
      </w:r>
    </w:p>
    <w:p w14:paraId="25B41298" w14:textId="77777777" w:rsidR="00900764" w:rsidRPr="002A13EB" w:rsidRDefault="00000000">
      <w:pPr>
        <w:widowControl/>
        <w:ind w:firstLineChars="100" w:firstLine="241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•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Dimensiones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: 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>424 × 285 × 412 mm</w:t>
      </w:r>
    </w:p>
    <w:p w14:paraId="086D2E93" w14:textId="77777777" w:rsidR="00900764" w:rsidRPr="002A13EB" w:rsidRDefault="00000000">
      <w:pPr>
        <w:widowControl/>
        <w:ind w:firstLineChars="100" w:firstLine="241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•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Tamaño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de la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caja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: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464 × 350 × 512 mm</w:t>
      </w:r>
    </w:p>
    <w:p w14:paraId="1320A1F9" w14:textId="77777777" w:rsidR="00900764" w:rsidRPr="002A13EB" w:rsidRDefault="00000000">
      <w:pPr>
        <w:widowControl/>
        <w:ind w:firstLineChars="100" w:firstLine="24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• </w:t>
      </w: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Material: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Acero, Vidrio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templado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>, ABS</w:t>
      </w:r>
    </w:p>
    <w:p w14:paraId="3045B5D8" w14:textId="77777777" w:rsidR="00900764" w:rsidRPr="002A13EB" w:rsidRDefault="00000000">
      <w:pPr>
        <w:widowControl/>
        <w:ind w:firstLineChars="100" w:firstLine="24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lastRenderedPageBreak/>
        <w:t xml:space="preserve">• </w:t>
      </w: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Panel lateral: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Vidrio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templado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+ Malla con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aberturas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flujo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aire</w:t>
      </w:r>
      <w:proofErr w:type="spellEnd"/>
    </w:p>
    <w:p w14:paraId="14796565" w14:textId="77777777" w:rsidR="00900764" w:rsidRPr="002A13EB" w:rsidRDefault="00000000">
      <w:pPr>
        <w:widowControl/>
        <w:ind w:firstLineChars="100" w:firstLine="24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•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Compatibilidad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con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placa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base: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ATX / M-ATX / ITX / BTF</w:t>
      </w:r>
    </w:p>
    <w:p w14:paraId="32C6C394" w14:textId="77777777" w:rsidR="00900764" w:rsidRPr="002A13EB" w:rsidRDefault="00000000">
      <w:pPr>
        <w:widowControl/>
        <w:ind w:firstLineChars="100" w:firstLine="24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•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Soporte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BTF: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Sí</w:t>
      </w:r>
      <w:proofErr w:type="spellEnd"/>
    </w:p>
    <w:p w14:paraId="4A07A21A" w14:textId="77777777" w:rsidR="00900764" w:rsidRPr="002A13EB" w:rsidRDefault="00000000">
      <w:pPr>
        <w:widowControl/>
        <w:ind w:firstLineChars="100" w:firstLine="24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• </w:t>
      </w: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Total de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ventiladores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posibles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:</w:t>
      </w:r>
    </w:p>
    <w:p w14:paraId="6425BB37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</w:t>
      </w:r>
      <w:proofErr w:type="gramStart"/>
      <w:r w:rsidRPr="002A13EB">
        <w:rPr>
          <w:rFonts w:ascii="Calibri" w:eastAsia="微软雅黑" w:hAnsi="Calibri" w:cs="Calibri"/>
          <w:kern w:val="0"/>
          <w:sz w:val="24"/>
          <w:szCs w:val="24"/>
        </w:rPr>
        <w:t>◦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>3 × 120</w:t>
      </w:r>
      <w:proofErr w:type="gram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mm (Inferior)</w:t>
      </w:r>
    </w:p>
    <w:p w14:paraId="43D9A512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</w:t>
      </w:r>
      <w:proofErr w:type="gramStart"/>
      <w:r w:rsidRPr="002A13EB">
        <w:rPr>
          <w:rFonts w:ascii="Calibri" w:eastAsia="微软雅黑" w:hAnsi="Calibri" w:cs="Calibri"/>
          <w:kern w:val="0"/>
          <w:sz w:val="24"/>
          <w:szCs w:val="24"/>
        </w:rPr>
        <w:t>◦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>3 × 120</w:t>
      </w:r>
      <w:proofErr w:type="gram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mm / 2 × 140 mm (Superior)</w:t>
      </w:r>
    </w:p>
    <w:p w14:paraId="1309C444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◦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2 × 120 mm / 2 × 140 mm (Frontal)</w:t>
      </w:r>
    </w:p>
    <w:p w14:paraId="317DD91B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◦ 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>2 × 120 mm (Posterior)</w:t>
      </w:r>
    </w:p>
    <w:p w14:paraId="79758EBA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 •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Ventiladores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preinstalados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:</w:t>
      </w:r>
    </w:p>
    <w:p w14:paraId="5E24A32A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◦ 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>5 × VORTEX 120 mm A-RGB PWM</w:t>
      </w:r>
    </w:p>
    <w:p w14:paraId="460E0601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◦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Soporte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para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placa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base: 3 × 120 mm (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Invertido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>)</w:t>
      </w:r>
    </w:p>
    <w:p w14:paraId="6CE000A2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◦ 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>Posterior: 2 × 120 mm (Regular)</w:t>
      </w:r>
    </w:p>
    <w:p w14:paraId="75E47A3C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 </w:t>
      </w: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•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Controlador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: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PWM + ARGB MBSYNC</w:t>
      </w:r>
    </w:p>
    <w:p w14:paraId="68E2A987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b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•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Compatibilidad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con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radiadores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:</w:t>
      </w:r>
    </w:p>
    <w:p w14:paraId="6E6D135D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◦ 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>Superior: 1 × 280 / 240 mm</w:t>
      </w:r>
    </w:p>
    <w:p w14:paraId="741C3CE7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◦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Bandeja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placa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base: 1 × 360 / 240 mm</w:t>
      </w:r>
    </w:p>
    <w:p w14:paraId="56DC181E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◦ 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Inferior: 1 × 240 mm (con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soporte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ventilador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extraíble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>)</w:t>
      </w:r>
    </w:p>
    <w:p w14:paraId="71C20FB6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◦ 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>Posterior: 1 × 120 mm</w:t>
      </w:r>
    </w:p>
    <w:p w14:paraId="2555F139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b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•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Almacenamiento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y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expansión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:</w:t>
      </w:r>
    </w:p>
    <w:p w14:paraId="20D93DF6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◦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Bahías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unidades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>: 1 × 3.5" / 2 × 2.5"</w:t>
      </w:r>
    </w:p>
    <w:p w14:paraId="639D2AF1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◦ 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Fuente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alimentación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: ATX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estándar</w:t>
      </w:r>
      <w:proofErr w:type="spellEnd"/>
    </w:p>
    <w:p w14:paraId="0245133D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◦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Ranuras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PCI-E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horizontales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>: 7</w:t>
      </w:r>
    </w:p>
    <w:p w14:paraId="79D7EB55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◦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Ranuras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PCI-E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verticales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>: No</w:t>
      </w:r>
    </w:p>
    <w:p w14:paraId="32454BF4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b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 </w:t>
      </w: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• Panel E/S:</w:t>
      </w:r>
    </w:p>
    <w:p w14:paraId="2037F8C5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◦ 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>2 × USB 3.0</w:t>
      </w:r>
    </w:p>
    <w:p w14:paraId="014B775F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◦ 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>1 × USB Tipo-C</w:t>
      </w:r>
    </w:p>
    <w:p w14:paraId="22187D2E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◦ 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>1 × Audio HD Entrada/Salida</w:t>
      </w:r>
    </w:p>
    <w:p w14:paraId="0B9339C6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◦ 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1 ×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Interruptor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Reinicio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>/RGB</w:t>
      </w:r>
    </w:p>
    <w:p w14:paraId="7C8120FC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b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•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Compatibilidad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de hardware:</w:t>
      </w:r>
    </w:p>
    <w:p w14:paraId="5EB005A8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◦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Longitud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máxima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GPU: 415 mm</w:t>
      </w:r>
    </w:p>
    <w:p w14:paraId="5E8F0BBF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◦ 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Altura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máxima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refrigerador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CPU: 160 mm</w:t>
      </w:r>
    </w:p>
    <w:p w14:paraId="23B6C8B3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◦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Longitud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máxima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fuente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alimentación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>: 165 mm</w:t>
      </w:r>
    </w:p>
    <w:p w14:paraId="13A9DEB1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b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• Colores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disponibles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:</w:t>
      </w:r>
    </w:p>
    <w:p w14:paraId="530FFEC0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◦ 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>Negro: X-CS-NEUTRONX-B</w:t>
      </w:r>
    </w:p>
    <w:p w14:paraId="3CD48284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微软雅黑" w:hAnsi="Calibri" w:cs="Calibri"/>
          <w:kern w:val="0"/>
          <w:sz w:val="24"/>
          <w:szCs w:val="24"/>
        </w:rPr>
        <w:t xml:space="preserve">     ◦ 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>Blanco: X-CS-NEUTRONX-W</w:t>
      </w:r>
    </w:p>
    <w:p w14:paraId="00163DA7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 •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Dimensiones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: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120 × 120 × 27 mm</w:t>
      </w:r>
    </w:p>
    <w:p w14:paraId="2F9B919D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 </w:t>
      </w: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• Tipo de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rodamiento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: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Rodamiento</w:t>
      </w:r>
      <w:proofErr w:type="spellEnd"/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hidráulico</w:t>
      </w:r>
      <w:proofErr w:type="spellEnd"/>
    </w:p>
    <w:p w14:paraId="375890C3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 </w:t>
      </w: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•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Velocidad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del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ventilador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: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600–1800 RPM ±10%</w:t>
      </w:r>
    </w:p>
    <w:p w14:paraId="64EF816E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 </w:t>
      </w: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•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Flujo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aire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: 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>17.95–48.69 CFM</w:t>
      </w:r>
    </w:p>
    <w:p w14:paraId="541BF24F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 </w:t>
      </w: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•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Presión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aire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: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0.39–1.59 </w:t>
      </w:r>
      <w:proofErr w:type="spellStart"/>
      <w:r w:rsidRPr="002A13EB">
        <w:rPr>
          <w:rFonts w:ascii="Calibri" w:eastAsia="宋体" w:hAnsi="Calibri" w:cs="Calibri"/>
          <w:kern w:val="0"/>
          <w:sz w:val="24"/>
          <w:szCs w:val="24"/>
        </w:rPr>
        <w:t>mmH₂O</w:t>
      </w:r>
      <w:proofErr w:type="spellEnd"/>
    </w:p>
    <w:p w14:paraId="7EEAE081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 </w:t>
      </w: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• Nivel de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ruido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: 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>18.5–30.3 dB(A)</w:t>
      </w:r>
    </w:p>
    <w:p w14:paraId="26BF69CB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•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Conector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: 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>3-pines 21T1</w:t>
      </w:r>
    </w:p>
    <w:p w14:paraId="3DE1D4A2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 </w:t>
      </w: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•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Tensión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nominal: 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>12V DC</w:t>
      </w:r>
    </w:p>
    <w:p w14:paraId="3A771D18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 </w:t>
      </w: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• Corriente nominal: 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>0.22A</w:t>
      </w:r>
    </w:p>
    <w:p w14:paraId="397B2B6B" w14:textId="77777777" w:rsidR="00900764" w:rsidRPr="002A13EB" w:rsidRDefault="00000000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2A13EB">
        <w:rPr>
          <w:rFonts w:ascii="Calibri" w:eastAsia="宋体" w:hAnsi="Calibri" w:cs="Calibri"/>
          <w:kern w:val="0"/>
          <w:sz w:val="24"/>
          <w:szCs w:val="24"/>
        </w:rPr>
        <w:lastRenderedPageBreak/>
        <w:t xml:space="preserve"> </w:t>
      </w:r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•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Consumo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de 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energía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 xml:space="preserve"> (</w:t>
      </w:r>
      <w:proofErr w:type="spellStart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ventilador</w:t>
      </w:r>
      <w:proofErr w:type="spellEnd"/>
      <w:r w:rsidRPr="002A13EB">
        <w:rPr>
          <w:rFonts w:ascii="Calibri" w:eastAsia="宋体" w:hAnsi="Calibri" w:cs="Calibri"/>
          <w:b/>
          <w:kern w:val="0"/>
          <w:sz w:val="24"/>
          <w:szCs w:val="24"/>
        </w:rPr>
        <w:t>):</w:t>
      </w:r>
      <w:r w:rsidRPr="002A13EB">
        <w:rPr>
          <w:rFonts w:ascii="Calibri" w:eastAsia="宋体" w:hAnsi="Calibri" w:cs="Calibri"/>
          <w:kern w:val="0"/>
          <w:sz w:val="24"/>
          <w:szCs w:val="24"/>
        </w:rPr>
        <w:t xml:space="preserve"> 2.64W</w:t>
      </w:r>
    </w:p>
    <w:p w14:paraId="509C4258" w14:textId="77777777" w:rsidR="00900764" w:rsidRPr="002A13EB" w:rsidRDefault="00900764">
      <w:pPr>
        <w:widowControl/>
        <w:jc w:val="left"/>
        <w:rPr>
          <w:rFonts w:ascii="Calibri" w:eastAsia="宋体" w:hAnsi="Calibri" w:cs="Calibri"/>
          <w:kern w:val="0"/>
          <w:sz w:val="24"/>
          <w:szCs w:val="24"/>
        </w:rPr>
      </w:pPr>
    </w:p>
    <w:p w14:paraId="1397552F" w14:textId="77777777" w:rsidR="00900764" w:rsidRDefault="00900764">
      <w:pPr>
        <w:rPr>
          <w:rFonts w:ascii="Calibri" w:eastAsia="宋体" w:hAnsi="Calibri" w:cs="Calibri"/>
          <w:b/>
          <w:bCs/>
          <w:kern w:val="0"/>
          <w:sz w:val="28"/>
          <w:szCs w:val="28"/>
          <w:lang w:bidi="ar"/>
        </w:rPr>
      </w:pPr>
    </w:p>
    <w:p w14:paraId="5994DE67" w14:textId="77777777" w:rsidR="002A13EB" w:rsidRPr="002A13EB" w:rsidRDefault="002A13EB" w:rsidP="002A13EB">
      <w:pPr>
        <w:rPr>
          <w:rFonts w:ascii="Calibri" w:hAnsi="Calibri" w:cs="Calibri" w:hint="eastAsia"/>
          <w:b/>
          <w:bCs/>
          <w:sz w:val="28"/>
          <w:szCs w:val="28"/>
        </w:rPr>
      </w:pPr>
      <w:r w:rsidRPr="002A13EB">
        <w:rPr>
          <w:rFonts w:ascii="Calibri" w:hAnsi="Calibri" w:cs="Calibri" w:hint="eastAsia"/>
          <w:b/>
          <w:bCs/>
          <w:sz w:val="28"/>
          <w:szCs w:val="28"/>
        </w:rPr>
        <w:t xml:space="preserve">Colores </w:t>
      </w:r>
      <w:proofErr w:type="spellStart"/>
      <w:r w:rsidRPr="002A13EB">
        <w:rPr>
          <w:rFonts w:ascii="Calibri" w:hAnsi="Calibri" w:cs="Calibri" w:hint="eastAsia"/>
          <w:b/>
          <w:bCs/>
          <w:sz w:val="28"/>
          <w:szCs w:val="28"/>
        </w:rPr>
        <w:t>Disponibles</w:t>
      </w:r>
      <w:proofErr w:type="spellEnd"/>
      <w:r w:rsidRPr="002A13EB">
        <w:rPr>
          <w:rFonts w:ascii="Calibri" w:hAnsi="Calibri" w:cs="Calibri" w:hint="eastAsia"/>
          <w:b/>
          <w:bCs/>
          <w:sz w:val="28"/>
          <w:szCs w:val="28"/>
        </w:rPr>
        <w:t>:</w:t>
      </w:r>
    </w:p>
    <w:p w14:paraId="3D715AAF" w14:textId="77777777" w:rsidR="002A13EB" w:rsidRPr="002A13EB" w:rsidRDefault="002A13EB" w:rsidP="002A13EB">
      <w:pPr>
        <w:ind w:leftChars="100" w:left="210"/>
        <w:rPr>
          <w:rFonts w:ascii="Calibri" w:hAnsi="Calibri" w:cs="Calibri"/>
          <w:b/>
          <w:bCs/>
          <w:sz w:val="24"/>
          <w:szCs w:val="24"/>
        </w:rPr>
      </w:pPr>
      <w:r w:rsidRPr="002A13EB">
        <w:rPr>
          <w:rFonts w:ascii="Calibri" w:hAnsi="Calibri" w:cs="Calibri" w:hint="eastAsia"/>
          <w:b/>
          <w:bCs/>
          <w:sz w:val="24"/>
          <w:szCs w:val="24"/>
        </w:rPr>
        <w:t xml:space="preserve">Blanco </w:t>
      </w:r>
    </w:p>
    <w:p w14:paraId="188916A1" w14:textId="08519943" w:rsidR="002A13EB" w:rsidRPr="002A13EB" w:rsidRDefault="002A13EB" w:rsidP="002A13EB">
      <w:pPr>
        <w:ind w:leftChars="100" w:left="210"/>
        <w:rPr>
          <w:rFonts w:ascii="Calibri" w:hAnsi="Calibri" w:cs="Calibri" w:hint="eastAsia"/>
          <w:sz w:val="24"/>
          <w:szCs w:val="24"/>
        </w:rPr>
      </w:pPr>
      <w:r w:rsidRPr="002A13EB">
        <w:rPr>
          <w:rFonts w:ascii="Calibri" w:hAnsi="Calibri" w:cs="Calibri" w:hint="eastAsia"/>
          <w:sz w:val="24"/>
          <w:szCs w:val="24"/>
        </w:rPr>
        <w:t>SKU | X-CS-NEUTRONX-W</w:t>
      </w:r>
    </w:p>
    <w:p w14:paraId="5E35E4FF" w14:textId="77777777" w:rsidR="002A13EB" w:rsidRPr="002A13EB" w:rsidRDefault="002A13EB" w:rsidP="002A13EB">
      <w:pPr>
        <w:ind w:leftChars="100" w:left="210"/>
        <w:rPr>
          <w:rFonts w:ascii="Calibri" w:hAnsi="Calibri" w:cs="Calibri" w:hint="eastAsia"/>
          <w:sz w:val="24"/>
          <w:szCs w:val="24"/>
        </w:rPr>
      </w:pPr>
      <w:r w:rsidRPr="002A13EB">
        <w:rPr>
          <w:rFonts w:ascii="Calibri" w:hAnsi="Calibri" w:cs="Calibri" w:hint="eastAsia"/>
          <w:sz w:val="24"/>
          <w:szCs w:val="24"/>
        </w:rPr>
        <w:t>EAN | 6978262011963</w:t>
      </w:r>
    </w:p>
    <w:p w14:paraId="7624F11F" w14:textId="77777777" w:rsidR="002A13EB" w:rsidRDefault="002A13EB" w:rsidP="002A13EB">
      <w:pPr>
        <w:ind w:leftChars="100" w:left="210"/>
        <w:rPr>
          <w:rFonts w:ascii="Calibri" w:hAnsi="Calibri" w:cs="Calibri"/>
          <w:b/>
          <w:bCs/>
          <w:sz w:val="24"/>
          <w:szCs w:val="24"/>
        </w:rPr>
      </w:pPr>
      <w:r w:rsidRPr="002A13EB">
        <w:rPr>
          <w:rFonts w:ascii="Calibri" w:hAnsi="Calibri" w:cs="Calibri" w:hint="eastAsia"/>
          <w:b/>
          <w:bCs/>
          <w:sz w:val="24"/>
          <w:szCs w:val="24"/>
        </w:rPr>
        <w:t>Negro</w:t>
      </w:r>
    </w:p>
    <w:p w14:paraId="6E3FD309" w14:textId="2E93C623" w:rsidR="002A13EB" w:rsidRPr="002A13EB" w:rsidRDefault="002A13EB" w:rsidP="002A13EB">
      <w:pPr>
        <w:ind w:leftChars="100" w:left="210"/>
        <w:rPr>
          <w:rFonts w:ascii="Calibri" w:hAnsi="Calibri" w:cs="Calibri" w:hint="eastAsia"/>
          <w:sz w:val="24"/>
          <w:szCs w:val="24"/>
        </w:rPr>
      </w:pPr>
      <w:r w:rsidRPr="002A13EB">
        <w:rPr>
          <w:rFonts w:ascii="Calibri" w:hAnsi="Calibri" w:cs="Calibri" w:hint="eastAsia"/>
          <w:sz w:val="24"/>
          <w:szCs w:val="24"/>
        </w:rPr>
        <w:t>SKU | X-CS-NEUTRONX-B</w:t>
      </w:r>
    </w:p>
    <w:p w14:paraId="31167D84" w14:textId="218FE0EE" w:rsidR="002A13EB" w:rsidRPr="002A13EB" w:rsidRDefault="002A13EB" w:rsidP="002A13EB">
      <w:pPr>
        <w:ind w:leftChars="100" w:left="210"/>
        <w:rPr>
          <w:rFonts w:ascii="Calibri" w:hAnsi="Calibri" w:cs="Calibri"/>
          <w:sz w:val="24"/>
          <w:szCs w:val="24"/>
        </w:rPr>
      </w:pPr>
      <w:r w:rsidRPr="002A13EB">
        <w:rPr>
          <w:rFonts w:ascii="Calibri" w:hAnsi="Calibri" w:cs="Calibri" w:hint="eastAsia"/>
          <w:sz w:val="24"/>
          <w:szCs w:val="24"/>
        </w:rPr>
        <w:t>EAN | 6978262011956</w:t>
      </w:r>
    </w:p>
    <w:sectPr w:rsidR="002A13EB" w:rsidRPr="002A13EB" w:rsidSect="002A13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A840B" w14:textId="77777777" w:rsidR="00031B99" w:rsidRDefault="00031B99" w:rsidP="002A13EB">
      <w:pPr>
        <w:rPr>
          <w:rFonts w:hint="eastAsia"/>
        </w:rPr>
      </w:pPr>
      <w:r>
        <w:separator/>
      </w:r>
    </w:p>
  </w:endnote>
  <w:endnote w:type="continuationSeparator" w:id="0">
    <w:p w14:paraId="5C129187" w14:textId="77777777" w:rsidR="00031B99" w:rsidRDefault="00031B99" w:rsidP="002A13E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F7A75" w14:textId="77777777" w:rsidR="002A13EB" w:rsidRDefault="002A13EB">
    <w:pPr>
      <w:pStyle w:val="a6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9243D" w14:textId="77777777" w:rsidR="002A13EB" w:rsidRDefault="002A13EB">
    <w:pPr>
      <w:pStyle w:val="a6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20BC1" w14:textId="77777777" w:rsidR="002A13EB" w:rsidRDefault="002A13EB">
    <w:pPr>
      <w:pStyle w:val="a6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0F486" w14:textId="77777777" w:rsidR="00031B99" w:rsidRDefault="00031B99" w:rsidP="002A13EB">
      <w:pPr>
        <w:rPr>
          <w:rFonts w:hint="eastAsia"/>
        </w:rPr>
      </w:pPr>
      <w:r>
        <w:separator/>
      </w:r>
    </w:p>
  </w:footnote>
  <w:footnote w:type="continuationSeparator" w:id="0">
    <w:p w14:paraId="314EB983" w14:textId="77777777" w:rsidR="00031B99" w:rsidRDefault="00031B99" w:rsidP="002A13E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94EE7" w14:textId="77777777" w:rsidR="002A13EB" w:rsidRDefault="002A13EB">
    <w:pPr>
      <w:pStyle w:val="a4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2A13EB" w14:paraId="2C1019DD" w14:textId="77777777" w:rsidTr="00D7635B">
      <w:trPr>
        <w:trHeight w:val="300"/>
      </w:trPr>
      <w:tc>
        <w:tcPr>
          <w:tcW w:w="3108" w:type="dxa"/>
          <w:vAlign w:val="center"/>
        </w:tcPr>
        <w:p w14:paraId="2E9CF60A" w14:textId="77777777" w:rsidR="002A13EB" w:rsidRDefault="002A13EB" w:rsidP="002A13EB">
          <w:pPr>
            <w:pStyle w:val="a4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56979AB3" w14:textId="77777777" w:rsidR="002A13EB" w:rsidRDefault="002A13EB" w:rsidP="002A13EB">
          <w:pPr>
            <w:pStyle w:val="a4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1116A04B" w14:textId="77777777" w:rsidR="002A13EB" w:rsidRDefault="002A13EB" w:rsidP="002A13EB">
          <w:pPr>
            <w:pStyle w:val="a4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00BD0B1B" wp14:editId="2B4B4B6E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0D39BF8D" w14:textId="2D083318" w:rsidR="002A13EB" w:rsidRDefault="002A13EB">
    <w:pPr>
      <w:pStyle w:val="a4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2DF2E" w14:textId="77777777" w:rsidR="002A13EB" w:rsidRDefault="002A13EB">
    <w:pPr>
      <w:pStyle w:val="a4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22D"/>
    <w:rsid w:val="00031B99"/>
    <w:rsid w:val="002A13EB"/>
    <w:rsid w:val="00351BAD"/>
    <w:rsid w:val="00501D9A"/>
    <w:rsid w:val="00900764"/>
    <w:rsid w:val="00A01276"/>
    <w:rsid w:val="00D77569"/>
    <w:rsid w:val="00E7422D"/>
    <w:rsid w:val="69FB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279136"/>
  <w15:docId w15:val="{0B7CE13F-7829-4689-81ED-EEF05DB84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header"/>
    <w:basedOn w:val="a"/>
    <w:link w:val="a5"/>
    <w:uiPriority w:val="99"/>
    <w:unhideWhenUsed/>
    <w:qFormat/>
    <w:rsid w:val="002A13E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qFormat/>
    <w:rsid w:val="002A13E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A13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A13E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687</Words>
  <Characters>3282</Characters>
  <Application>Microsoft Office Word</Application>
  <DocSecurity>0</DocSecurity>
  <Lines>113</Lines>
  <Paragraphs>94</Paragraphs>
  <ScaleCrop>false</ScaleCrop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Jimmy Qin</cp:lastModifiedBy>
  <cp:revision>4</cp:revision>
  <dcterms:created xsi:type="dcterms:W3CDTF">2026-01-27T10:40:00Z</dcterms:created>
  <dcterms:modified xsi:type="dcterms:W3CDTF">2026-02-15T07:11:00Z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3076-12.2.0.23196</vt:lpwstr>
  </property>
  <property fmtid="{D5CDD505-2E9C-101B-9397-08002B2CF9AE}" pid="3" name="ICV">
    <vt:lpwstr>6BE359AFDF7A4053835E3227BB7B92B7_12</vt:lpwstr>
  </property>
</Properties>
</file>